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2026</w:t>
      </w: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037"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001-36567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32-0436529</w:t>
      </w:r>
    </w:p>
    <w:p>
      <w:pPr>
        <w:spacing w:after="0" w:line="26" w:lineRule="exact"/>
        <w:rPr>
          <w:sz w:val="24"/>
          <w:szCs w:val="24"/>
          <w:color w:val="auto"/>
        </w:rPr>
      </w:pPr>
    </w:p>
    <w:p>
      <w:pPr>
        <w:sectPr>
          <w:pgSz w:w="11900" w:h="16838" w:orient="portrait"/>
          <w:cols w:equalWidth="0" w:num="3">
            <w:col w:w="4480" w:space="720"/>
            <w:col w:w="3020" w:space="720"/>
            <w:col w:w="2300"/>
          </w:cols>
          <w:pgMar w:left="320" w:top="1037" w:right="339" w:bottom="1440" w:gutter="0" w:footer="0" w:header="0"/>
          <w:type w:val="continuous"/>
        </w:sect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020" w:space="720"/>
            <w:col w:w="3360" w:space="720"/>
            <w:col w:w="2420"/>
          </w:cols>
          <w:pgMar w:left="320" w:top="1037" w:right="339" w:bottom="1440" w:gutter="0" w:footer="0" w:header="0"/>
          <w:type w:val="continuous"/>
        </w:sect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2801 Post Oak Boulevard,</w:t>
      </w:r>
    </w:p>
    <w:p>
      <w:pPr>
        <w:spacing w:after="0" w:line="4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Houston,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Suite 600</w:t>
      </w:r>
    </w:p>
    <w:p>
      <w:pPr>
        <w:spacing w:after="0" w:line="43"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77056</w:t>
      </w:r>
    </w:p>
    <w:p>
      <w:pPr>
        <w:spacing w:after="0" w:line="272" w:lineRule="exact"/>
        <w:rPr>
          <w:sz w:val="24"/>
          <w:szCs w:val="24"/>
          <w:color w:val="auto"/>
        </w:rPr>
      </w:pPr>
    </w:p>
    <w:p>
      <w:pPr>
        <w:sectPr>
          <w:pgSz w:w="11900" w:h="16838" w:orient="portrait"/>
          <w:cols w:equalWidth="0" w:num="3">
            <w:col w:w="4640" w:space="720"/>
            <w:col w:w="2840" w:space="720"/>
            <w:col w:w="2320"/>
          </w:cols>
          <w:pgMar w:left="320" w:top="1037" w:right="3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080" w:space="720"/>
            <w:col w:w="2440"/>
          </w:cols>
          <w:pgMar w:left="320" w:top="1037" w:right="339" w:bottom="1440" w:gutter="0" w:footer="0" w:header="0"/>
          <w:type w:val="continuous"/>
        </w:sectPr>
      </w:pP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585-2900</w:t>
      </w:r>
    </w:p>
    <w:p>
      <w:pPr>
        <w:spacing w:after="0" w:line="200" w:lineRule="exact"/>
        <w:rPr>
          <w:sz w:val="24"/>
          <w:szCs w:val="24"/>
          <w:color w:val="auto"/>
        </w:r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24"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3"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69"/>
        </w:trPr>
        <w:tc>
          <w:tcPr>
            <w:tcW w:w="324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3340" w:type="dxa"/>
            <w:vAlign w:val="bottom"/>
            <w:tcBorders>
              <w:right w:val="single" w:sz="8" w:color="auto"/>
            </w:tcBorders>
          </w:tcPr>
          <w:p>
            <w:pPr>
              <w:spacing w:after="0"/>
              <w:rPr>
                <w:sz w:val="14"/>
                <w:szCs w:val="14"/>
                <w:color w:val="auto"/>
              </w:rPr>
            </w:pPr>
          </w:p>
        </w:tc>
        <w:tc>
          <w:tcPr>
            <w:tcW w:w="4620" w:type="dxa"/>
            <w:vAlign w:val="bottom"/>
            <w:tcBorders>
              <w:right w:val="single" w:sz="8" w:color="auto"/>
            </w:tcBorders>
          </w:tcPr>
          <w:p>
            <w:pPr>
              <w:spacing w:after="0"/>
              <w:rPr>
                <w:sz w:val="14"/>
                <w:szCs w:val="14"/>
                <w:color w:val="auto"/>
              </w:rPr>
            </w:pPr>
          </w:p>
        </w:tc>
      </w:tr>
      <w:tr>
        <w:trPr>
          <w:trHeight w:val="243"/>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WLKP</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31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1593850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963295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989330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94"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On May 5, 2026, Westlake Chemical Partners LP (the "Partnership") issued a press release announcing its 2026 first quarter results. A copy of the press release is furnished with this Current Report as Exhibit 99.1.</w:t>
      </w:r>
    </w:p>
    <w:p>
      <w:pPr>
        <w:spacing w:after="0" w:line="10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Current Report, including Exhibit 99.1, shall not be deemed to be "filed" for the purposes of Section 18 of the Securities Exchange Act of 1934, as amended, and will not be incorporated by reference into any filing by Westlake Chemical Partners LP under the Securities Act of 1933, as amended, or the Securities Exchange Act of 1934, as amended, unless specifically identified as being incorporated therein.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0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Partnership is holding a conference call on May 5, 2026 to discuss its 2026 first quarter results. Information about the call can be found in the press release furnished with this Current Report as Exhibit 99.1.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 Exhibits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furnished herewith:</w:t>
      </w:r>
    </w:p>
    <w:p>
      <w:pPr>
        <w:spacing w:after="0" w:line="104"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on May 5, 2026.</w:t>
      </w:r>
    </w:p>
    <w:p>
      <w:pPr>
        <w:spacing w:after="0" w:line="104"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8"/>
          <w:szCs w:val="18"/>
          <w:color w:val="auto"/>
        </w:rPr>
        <w:t>104</w:t>
        <w:tab/>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939165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8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WESTLAKE CHEMICAL PARTNERS LP</w:t>
            </w:r>
          </w:p>
        </w:tc>
      </w:tr>
      <w:tr>
        <w:trPr>
          <w:trHeight w:val="234"/>
        </w:trPr>
        <w:tc>
          <w:tcPr>
            <w:tcW w:w="6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8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By: Westlake Chemical Partners GP LLC</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5, 2026</w:t>
            </w: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8255</wp:posOffset>
            </wp:positionV>
            <wp:extent cx="34632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6"/>
          <w:szCs w:val="16"/>
          <w:b w:val="1"/>
          <w:bCs w:val="1"/>
          <w:color w:val="auto"/>
        </w:rPr>
        <w:t>Jean-Marc Gilson</w:t>
      </w:r>
    </w:p>
    <w:p>
      <w:pPr>
        <w:jc w:val="center"/>
        <w:ind w:left="5720"/>
        <w:spacing w:after="0"/>
        <w:rPr>
          <w:sz w:val="20"/>
          <w:szCs w:val="20"/>
          <w:color w:val="auto"/>
        </w:rPr>
      </w:pPr>
      <w:r>
        <w:rPr>
          <w:rFonts w:ascii="Times New Roman" w:cs="Times New Roman" w:eastAsia="Times New Roman" w:hAnsi="Times New Roman"/>
          <w:sz w:val="16"/>
          <w:szCs w:val="16"/>
          <w:b w:val="1"/>
          <w:bCs w:val="1"/>
          <w:color w:val="auto"/>
        </w:rPr>
        <w:t>President, Chief Executive Officer and Director</w:t>
      </w:r>
    </w:p>
    <w:p>
      <w:pPr>
        <w:sectPr>
          <w:pgSz w:w="11900" w:h="16838" w:orient="portrait"/>
          <w:cols w:equalWidth="0" w:num="1">
            <w:col w:w="11240"/>
          </w:cols>
          <w:pgMar w:left="320" w:top="12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Contact—(713) 585-2900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Investors—Steve Bender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 Benjamin Ederington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262890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b w:val="1"/>
          <w:bCs w:val="1"/>
          <w:color w:val="auto"/>
        </w:rPr>
        <w:t>Westlake Chemical Partners LP Announces First Quarter 2026 Results</w:t>
      </w:r>
    </w:p>
    <w:p>
      <w:pPr>
        <w:spacing w:after="0" w:line="67" w:lineRule="exact"/>
        <w:rPr>
          <w:sz w:val="20"/>
          <w:szCs w:val="20"/>
          <w:color w:val="auto"/>
        </w:rPr>
      </w:pPr>
    </w:p>
    <w:p>
      <w:pPr>
        <w:ind w:left="1700"/>
        <w:spacing w:after="0"/>
        <w:tabs>
          <w:tab w:leader="none" w:pos="1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Declared quarterly distribution of $0.4714 per unit; 47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consecutive quarterly distribution</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HOUSTON--(BUSINESS WIRE)--Westlake Chemical Partners LP (NYSE: WLKP) (the "Partnership") today reported net income attributable to the Partnership in the first quarter of 2026 of $14.2 million, or $0.40 per limited partner unit, which was above first quarter 2025 net income of $4.9 million. Cash flows from operating activities in the first quarter of 2026 were $110.2 million, an increase of $64.4 million compared to first quarter 2025 cash flows from operating activities of $45.8 million, due to higher production and sales volume as the result of the prior year's Petro 1 turnaround. For the three months ended March 31, 2026, MLP distributable cash flow was $17.9 million, an increase of $13.2 million compared to first quarter 2025 MLP distributable cash flow of $4.7 million. The increase in MLP distributable cash flow and associated trailing twelve-month coverage ratio was primarily due to higher production and sales volume and lower maintenance capital expenditures as a result of the prior year's Petro 1 turnaround.</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Compared to the fourth quarter of 2025, first quarter 2026 net income attributable to the Partnership of $14.2 million decreased by $0.3 million due to seasonally lower production and sales volume. First quarter 2026 cash flows from operating activities of $110.2 million decreased by $10.2 million due to working capital changes. First quarter 2026 MLP distributable cash flow of $17.9 million decreased by $0.9 million compared to fourth quarter 2025 MLP distributable cash flow of $18.8 million due to lower production and sales volume.</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Partnership began the year with solid production and sales volume, generating a coverage ratio 1.08x for the first quarter of 2026," said Jean-Marc Gilson, President and Chief Executive Officer. "Late in the first quarter, following the outbreak of the war with Iran and the closure of the Strait of Hormuz, global demand for North American chemicals and polymers accelerated meaningfully. This surge in export demand has driven higher third-party ethylene sales prices, which is benefiting the Partnership's distributable cash flow and coverage ratio."</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May 4, 2026, the Partnership announced that the Board of Directors of Westlake Chemical Partners GP LLC had approved a quarterly distribution for the first quarter of 2026 of $0.4714 per common unit to be payable on June 1, 2026 to unitholders of record as of May 14, 2026, representing the 47th consecutive quarterly distribution to our unitholders. MLP distributable cash flow provided trailing twelve-month coverage that was 1.00x the declared distributions for the first quarter of 2026, which was above the trailing twelve-month coverage ratio of 0.82x at the end of the fourth quarter of 2025. Since our IPO in July of 2014 our cumulative coverage ratio is approximately 1.05x.</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OpCo's Ethylene Sales Agreement with Westlake is designed to provide for stable and predictable cash flows. The agreement provides that 95% of OpCo's ethylene production is sold to Westlake for a cash margin of $0.10 per pound, net of operating costs, maintenance capital expenditures and reserves for future turnaround expenditures.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887" w:right="339" w:bottom="1440" w:gutter="0" w:footer="0" w:header="0"/>
        </w:sectPr>
      </w:pPr>
    </w:p>
    <w:bookmarkStart w:id="5" w:name="page6"/>
    <w:bookmarkEnd w:id="5"/>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The statements in this release and the related teleconference relating to matters that are not historical facts, such as those with respect to the timing and results of our turnaround activities, our outlook for third-party ethylene margins, the impact of the Iran war on global demand for our products, our expectations regarding feedstock and energy costs, the ability to deliver value, returns, predictable cash flows and distributions to unitholders; our relationship with Westlake and the benefits of the ethylene sales agreement, are forward-looking statements. These forward-looking statements are subject to significant risks and uncertainties. Actual results could differ materially, based on factors including, but not limited to: operating difficulties or disruptions; the volume of ethylene that we are able to sell; the price at which we are able to sell ethylene; changes in the price and availability of feedstocks; changes in prevailing economic conditions; actions and commitments of Westlake, including determinations made pursuant to contractual arrangements with Westlake; the effects of legal proceedings; actions of third parties; inclement or hazardous weather conditions; environmental hazards; changes in laws and regulations (or the interpretation thereof); inability to acquire or maintain necessary permits; inability to obtain necessary production equipment or replacement parts; technical difficulties or failures; labor disputes; inability of our customers to take delivery; fires, explosions or other industrial accidents; political tension and conflict in the Middle East and elsewhere; the supply/demand balance for our products; and other risk factors. For more detailed information about the factors that could cause actual results to differ materially, please refer to the Partnership's Annual Report on Form 10-K for the year ended December 31, 2025, which was filed with the SEC in March 2026.</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This release is intended to be a qualified notice under Treasury Regulation Section 1.1446-4(b). Brokers and nominees should treat one hundred percent (100.0%) of the Partnership's distributions to non-U.S. investors as being attributable to income that is effectively connected with a United States trade or business. Accordingly, the Partnership's distributions to non-U.S. investors are subject to federal income tax withholding at the highest applicable effective tax rate.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Non-GAAP Financial Measures</w:t>
      </w:r>
    </w:p>
    <w:p>
      <w:pPr>
        <w:spacing w:after="0" w:line="10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release makes reference to certain "non-GAAP" financial measures, such as MLP distributable cash flow, coverage ratio and EBITDA.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U.S. generally accepted accounting principles ("U.S. GAAP") in the statement of operations, balance sheet or statement of cash flows (or equivalent statements) of the registrant; or (2) includes amounts, or is subject to adjustments that have the effect of including amounts, that are excluded from the most directly comparable measure so calculated and presented. We report our financial results in accordance with U.S. GAAP, but believe that certain non-GAAP financial measures, such as MLP distributable cash flow, coverage ratio and EBITDA, provide useful supplemental information to investors regarding the underlying business trends and performance of our ongoing operations and are useful for period-over-period comparisons of such operations. These non-GAAP financial measures should be considered as a supplement to, and not as a substitute for, or superior to, the financial measures prepared in accordance with U.S. GAAP. We define MLP distributable cash flow as distributable cash flow less distributable cash flow attributable to Westlake Corporation's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coverage ratio and EBITDA are non-GAAP supplemental financial measures that management and external users of our consolidated financial statements, such as industry analysts, investors, lenders and rating agencies, may use to assess our operating performance as compared to other publicly traded partnerships, our ability to incur and service debt and fund capital expenditures and the viability of acquisitions and other capital expenditure projects and the returns on investment of various investment opportunities. Reconciliations of MLP distributable cash flow to net income and to net cash provided by operating activities and of EBITDA to net income, income from operations and net cash provided by operating activities can be found in the financial schedules at the end of this press release.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Westlake Chemical Partners LP</w:t>
      </w:r>
    </w:p>
    <w:p>
      <w:pPr>
        <w:spacing w:after="0" w:line="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Westlake Chemical Partners is a limited partnership formed by Westlake Corporation to operate, acquire and develop ethylene production facilities and other qualified assets. Headquartered in Houston, the Partnership owns a 22.8% interest in Westlake Chemical OpCo LP. Westlake Chemical OpCo LP's assets consist of three ethylene production facilities in Calvert City, Kentucky, and Lake Charles, Louisiana, and an ethylene pipeline. For more information about Westlake Chemical Partners LP, please visit </w:t>
      </w:r>
      <w:r>
        <w:rPr>
          <w:rFonts w:ascii="Times New Roman" w:cs="Times New Roman" w:eastAsia="Times New Roman" w:hAnsi="Times New Roman"/>
          <w:sz w:val="18"/>
          <w:szCs w:val="18"/>
          <w:color w:val="0000FF"/>
        </w:rPr>
        <w:t>http://www.wlkpartners.com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98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Westlake Chemical Partners LP Conference Call Information:</w:t>
      </w:r>
    </w:p>
    <w:p>
      <w:pPr>
        <w:spacing w:after="0" w:line="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A conference call to discuss Westlake Chemical Partners' first quarter 2026 results will be held Tuesday, May 5th, 2026 at 1:00 PM Eastern Time (12:00 PM Central Time). To access the conference call, please register at: </w:t>
      </w:r>
      <w:r>
        <w:rPr>
          <w:rFonts w:ascii="Times New Roman" w:cs="Times New Roman" w:eastAsia="Times New Roman" w:hAnsi="Times New Roman"/>
          <w:sz w:val="18"/>
          <w:szCs w:val="18"/>
          <w:color w:val="0000FF"/>
        </w:rPr>
        <w:t>https://register-conf.media-server.com/register/BI15886588e6004070bc18c354348f7575</w:t>
      </w:r>
      <w:r>
        <w:rPr>
          <w:rFonts w:ascii="Times New Roman" w:cs="Times New Roman" w:eastAsia="Times New Roman" w:hAnsi="Times New Roman"/>
          <w:sz w:val="18"/>
          <w:szCs w:val="18"/>
          <w:color w:val="000000"/>
        </w:rPr>
        <w:t>. A dial-in will be provided upon registration.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conference call will also be available via webcast at: </w:t>
      </w:r>
      <w:r>
        <w:rPr>
          <w:rFonts w:ascii="Times New Roman" w:cs="Times New Roman" w:eastAsia="Times New Roman" w:hAnsi="Times New Roman"/>
          <w:sz w:val="17"/>
          <w:szCs w:val="17"/>
          <w:color w:val="0000FF"/>
        </w:rPr>
        <w:t>https://edge.media-server.com/mmc/p/493g3eiw</w:t>
      </w:r>
      <w:r>
        <w:rPr>
          <w:rFonts w:ascii="Times New Roman" w:cs="Times New Roman" w:eastAsia="Times New Roman" w:hAnsi="Times New Roman"/>
          <w:sz w:val="17"/>
          <w:szCs w:val="17"/>
          <w:color w:val="auto"/>
        </w:rPr>
        <w:t xml:space="preserve"> and the earnings release can be obtained via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Partnership web page at: </w:t>
      </w:r>
      <w:r>
        <w:rPr>
          <w:rFonts w:ascii="Times New Roman" w:cs="Times New Roman" w:eastAsia="Times New Roman" w:hAnsi="Times New Roman"/>
          <w:sz w:val="18"/>
          <w:szCs w:val="18"/>
          <w:color w:val="0000FF"/>
        </w:rPr>
        <w:t>https://investors.wlkpartners.com/corporate-profile/default.aspx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1147" w:right="479" w:bottom="1440" w:gutter="0" w:footer="0" w:header="0"/>
        </w:sectPr>
      </w:pPr>
    </w:p>
    <w:bookmarkStart w:id="7" w:name="page8"/>
    <w:bookmarkEnd w:id="7"/>
    <w:p>
      <w:pPr>
        <w:ind w:left="2720"/>
        <w:spacing w:after="0"/>
        <w:rPr>
          <w:sz w:val="20"/>
          <w:szCs w:val="20"/>
          <w:color w:val="auto"/>
        </w:rPr>
      </w:pPr>
      <w:r>
        <w:rPr>
          <w:rFonts w:ascii="Times New Roman" w:cs="Times New Roman" w:eastAsia="Times New Roman" w:hAnsi="Times New Roman"/>
          <w:sz w:val="18"/>
          <w:szCs w:val="18"/>
          <w:b w:val="1"/>
          <w:bCs w:val="1"/>
          <w:color w:val="auto"/>
        </w:rPr>
        <w:t>WESTLAKE CHEMICAL PARTNERS LP ("WESTLAKE PARTNERS")</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8200" w:type="dxa"/>
            <w:vAlign w:val="bottom"/>
          </w:tcPr>
          <w:p>
            <w:pPr>
              <w:spacing w:after="0"/>
              <w:rPr>
                <w:sz w:val="19"/>
                <w:szCs w:val="19"/>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of dollars, except per unit data)</w:t>
            </w:r>
          </w:p>
        </w:tc>
      </w:tr>
      <w:tr>
        <w:trPr>
          <w:trHeight w:val="23"/>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sales—Westlake Corporation ("Westlake")</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190,781</w:t>
            </w:r>
          </w:p>
        </w:tc>
      </w:tr>
      <w:tr>
        <w:trPr>
          <w:trHeight w:val="22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46,848</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237,629</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183,548</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54,081</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46,607</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r>
      <w:tr>
        <w:trPr>
          <w:trHeight w:val="23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42,416</w:t>
            </w:r>
          </w:p>
        </w:tc>
      </w:tr>
      <w:tr>
        <w:trPr>
          <w:trHeight w:val="23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r>
      <w:tr>
        <w:trPr>
          <w:trHeight w:val="23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Westlake Chemical OpCo LP ("OpCo")</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37,361</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Partners</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4,948</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8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limited partner unit attributable to Westlake Partners (basic and diluted)</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5"/>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units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declared per unit</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0.4714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declared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Limited partner units—publicly and privately held</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r>
      <w:tr>
        <w:trPr>
          <w:trHeight w:val="22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Limited partner units—Westlake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r>
      <w:tr>
        <w:trPr>
          <w:trHeight w:val="223"/>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distributions declared</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16,611</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80"/>
          </w:cols>
          <w:pgMar w:left="360" w:top="1130" w:right="359" w:bottom="1440" w:gutter="0" w:footer="0" w:header="0"/>
        </w:sectPr>
      </w:pPr>
    </w:p>
    <w:bookmarkStart w:id="8" w:name="page9"/>
    <w:bookmarkEnd w:id="8"/>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8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2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44,269</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23,378</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63,571</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886,012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227,015</w:t>
            </w: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1,235,698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1,256,533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24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(accounts payable and accrued and other liabilities)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51,301</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454,181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unitholders—publicly and privately held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unitholder—Westlake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Westlake Partners partners'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258,536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in OpCo</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543,816</w:t>
            </w: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802,352</w:t>
            </w: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1,256,533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20"/>
          </w:cols>
          <w:pgMar w:left="320" w:top="1130" w:right="359" w:bottom="1440" w:gutter="0" w:footer="0" w:header="0"/>
        </w:sectPr>
      </w:pPr>
    </w:p>
    <w:bookmarkStart w:id="9" w:name="page10"/>
    <w:bookmarkEnd w:id="9"/>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on disposition and other</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balance sheet changes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(23,836)</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14,044</w:t>
            </w: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retained in OpCo by Westlake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(68,517)</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20"/>
          </w:cols>
          <w:pgMar w:left="320" w:top="1130" w:right="359" w:bottom="1440" w:gutter="0" w:footer="0" w:header="0"/>
        </w:sectPr>
      </w:pPr>
    </w:p>
    <w:bookmarkStart w:id="10" w:name="page11"/>
    <w:bookmarkEnd w:id="10"/>
    <w:p>
      <w:pPr>
        <w:ind w:left="390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7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RECONCILIATION OF MLP DISTRIBUTABLE CASH FLOW TO NET INCOME</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AND NET CASH PROVIDED BY OPERATING ACTIVITIES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80"/>
          </w:cols>
          <w:pgMar w:left="360" w:top="1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710628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0628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0628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Depreciation, amortization and disposition of property, plant and equipment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0628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Contribution to turnaround reserves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0628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right="560" w:firstLine="324"/>
        <w:spacing w:after="0" w:line="339" w:lineRule="auto"/>
        <w:rPr>
          <w:sz w:val="20"/>
          <w:szCs w:val="20"/>
          <w:color w:val="auto"/>
        </w:rPr>
      </w:pPr>
      <w:r>
        <w:rPr>
          <w:rFonts w:ascii="Times New Roman" w:cs="Times New Roman" w:eastAsia="Times New Roman" w:hAnsi="Times New Roman"/>
          <w:sz w:val="18"/>
          <w:szCs w:val="18"/>
          <w:color w:val="auto"/>
        </w:rPr>
        <w:t xml:space="preserve">Distributable cash flow attributable to noncontrolling interest in OpCo </w:t>
      </w:r>
      <w:r>
        <w:rPr>
          <w:rFonts w:ascii="Times New Roman" w:cs="Times New Roman" w:eastAsia="Times New Roman" w:hAnsi="Times New Roman"/>
          <w:sz w:val="18"/>
          <w:szCs w:val="18"/>
          <w:b w:val="1"/>
          <w:bCs w:val="1"/>
          <w:color w:val="auto"/>
        </w:rPr>
        <w:t>MLP distributable cash flow</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4"/>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120,379</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0" w:type="dxa"/>
            <w:vAlign w:val="bottom"/>
          </w:tcPr>
          <w:p>
            <w:pPr>
              <w:spacing w:after="0"/>
              <w:rPr>
                <w:sz w:val="1"/>
                <w:szCs w:val="1"/>
                <w:color w:val="auto"/>
              </w:rPr>
            </w:pPr>
          </w:p>
        </w:tc>
      </w:tr>
      <w:tr>
        <w:trPr>
          <w:trHeight w:val="439"/>
        </w:trPr>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27,171</w:t>
            </w:r>
          </w:p>
        </w:tc>
        <w:tc>
          <w:tcPr>
            <w:tcW w:w="0" w:type="dxa"/>
            <w:vAlign w:val="bottom"/>
          </w:tcPr>
          <w:p>
            <w:pPr>
              <w:spacing w:after="0"/>
              <w:rPr>
                <w:sz w:val="1"/>
                <w:szCs w:val="1"/>
                <w:color w:val="auto"/>
              </w:rPr>
            </w:pPr>
          </w:p>
        </w:tc>
      </w:tr>
      <w:tr>
        <w:trPr>
          <w:trHeight w:val="454"/>
        </w:trPr>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(20,577)</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(80,087)</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ectPr>
          <w:pgSz w:w="11900" w:h="16838" w:orient="portrait"/>
          <w:cols w:equalWidth="0" w:num="2">
            <w:col w:w="5960" w:space="720"/>
            <w:col w:w="4500"/>
          </w:cols>
          <w:pgMar w:left="360" w:top="1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80"/>
          </w:cols>
          <w:pgMar w:left="360" w:top="1130" w:right="359" w:bottom="1440" w:gutter="0" w:footer="0" w:header="0"/>
          <w:type w:val="continuous"/>
        </w:sectPr>
      </w:pPr>
    </w:p>
    <w:bookmarkStart w:id="11" w:name="page12"/>
    <w:bookmarkEnd w:id="11"/>
    <w:p>
      <w:pPr>
        <w:ind w:left="390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7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4"/>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6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120,379</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0" w:type="dxa"/>
            <w:vAlign w:val="bottom"/>
          </w:tcPr>
          <w:p>
            <w:pPr>
              <w:spacing w:after="0"/>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29"/>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46,607</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27,068</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124,513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121,216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viii</w:t>
      </w:r>
    </w:p>
    <w:sectPr>
      <w:pgSz w:w="11900" w:h="16838" w:orient="portrait"/>
      <w:cols w:equalWidth="0" w:num="1">
        <w:col w:w="11180"/>
      </w:cols>
      <w:pgMar w:left="36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2026-05-05T06:31:50Z</dcterms:created>
  <dcterms:modified xsi:type="dcterms:W3CDTF">2026-05-05T06:31:50Z</dcterms:modified>
</cp:coreProperties>
</file>